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АННОТАЦИЯ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диссертации на соискание степени доктора философии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специальности: 8D10102 «Медицина»</w:t>
      </w:r>
    </w:p>
    <w:p w:rsidR="00CF414C" w:rsidRDefault="006345F7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Аймолдиной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Аманжоловны</w:t>
      </w:r>
      <w:proofErr w:type="spellEnd"/>
    </w:p>
    <w:p w:rsidR="00CF414C" w:rsidRDefault="006345F7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тему «Влияние генотипов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течение микозов кожи»</w:t>
      </w:r>
    </w:p>
    <w:p w:rsidR="00CF414C" w:rsidRDefault="00CF414C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414C" w:rsidRDefault="006345F7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 темы исследования:</w:t>
      </w:r>
    </w:p>
    <w:p w:rsidR="00CF414C" w:rsidRDefault="006345F7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дерматологической структуре заболеваемости грибковые болезни занимают второе место после пиодермий и составляют до 42% заболеваний кожи (А.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Зыбарева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2019). Проблема дерматомикозов приобретает большую актуальность в связи с многообразием путей передач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возбудителей и их высокой устойчивостью во внешней среде, изменением иммунного ответа организма человека (A.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Khurana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др., 2019).  </w:t>
      </w:r>
    </w:p>
    <w:p w:rsidR="00CF414C" w:rsidRDefault="006345F7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заболеваемости поверхностными дерматомикозами обусловлено рядом причин: наличием сопутствующих заболеваний (сах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арный диабет, ожирение, сосудистая недостаточность и др.); приемом антибиотиков,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цитостатиков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 химиотерапевтических препаратов; устойчивостью возбудителей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антимикотикам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Araya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др., 2020). Такие факторы, как климат, пол, возраст, образ жизни,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грация людей, культурные привычки и социально-экономический статус также влияют на распространенность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инфекций (B.A.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Alshehri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др., 2021).</w:t>
      </w:r>
    </w:p>
    <w:p w:rsidR="00CF414C" w:rsidRDefault="006345F7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глобальной проблемой общественного здравоохранения становятся резистентные к лечению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</w:t>
      </w:r>
      <w:r>
        <w:rPr>
          <w:rFonts w:ascii="Times New Roman" w:eastAsia="Times New Roman" w:hAnsi="Times New Roman" w:cs="Times New Roman"/>
          <w:sz w:val="28"/>
          <w:szCs w:val="28"/>
        </w:rPr>
        <w:t>тофитии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вызванные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rubrum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mentagrophytes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явление приобрело особенное распространение в эндемичных районах, таких как Индия (P.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Nenoff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др., 2019). В Европе и других развитых странах также было зарегистрировано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случаев (K.M.T.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Astvad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др., 2022; P.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Nenoff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др., 2020). По имеющимся данным, резистентность возбудителей грибковой инфекции кожи к противогрибковым препаратам в большинстве случаев имеет генетическую основу и является одной из причин неэффективности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отивогрибковой терапии дерматомикозов (R.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Sacheli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Harag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S., 2020). Также имеются данные о появлении новых возбудителей и атипичных форм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отмечается рост числа случаев дерматомикозов, резистентных к лечению (А. Ю. Сергеев и др., 2021;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Salehi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 др., 2021). </w:t>
      </w:r>
    </w:p>
    <w:p w:rsidR="00CF414C" w:rsidRDefault="006345F7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Казахстане видовой спектр возбудителей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изучался в 2008 году Е.А.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Сундеевой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 2010 году А.Т.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Карибаевой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однако учеными не проводился анализ чувствительности различных видов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 антимикотическим препаратам.</w:t>
      </w:r>
    </w:p>
    <w:p w:rsidR="00CF414C" w:rsidRDefault="006345F7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образом, учитывая рост числа случаев дерматомикозов и высокую частоту рецидивирующих и устойчивых форм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инфекции, возникает необходимость изучения влияния генотипов возбудителей на течение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14C" w:rsidRDefault="006345F7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исследования: </w:t>
      </w:r>
    </w:p>
    <w:p w:rsidR="00CF414C" w:rsidRDefault="006345F7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Установить взаимосв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язь течения микозов кожи с генотипами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дерматофитов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14C" w:rsidRDefault="006345F7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Объект и предмет исследования:</w:t>
      </w:r>
    </w:p>
    <w:p w:rsidR="00CF414C" w:rsidRDefault="006345F7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Пациенты с подозрением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обратившиеся за медицинской помощью в г. Астана. Эпидемиологические, микологические и молекулярно-генетические характеристики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</w:t>
      </w:r>
      <w:r>
        <w:rPr>
          <w:rFonts w:ascii="Times New Roman" w:eastAsia="Times New Roman" w:hAnsi="Times New Roman" w:cs="Times New Roman"/>
          <w:sz w:val="28"/>
          <w:szCs w:val="28"/>
        </w:rPr>
        <w:t>фитий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пациентов, включая факторы риска, видовой состав возбудителей, их чувствительность к системным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антимикотикам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14C" w:rsidRDefault="006345F7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исследования:</w:t>
      </w:r>
    </w:p>
    <w:p w:rsidR="00CF414C" w:rsidRDefault="006345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 клиническую картину и эпидемиологические данные у пациентов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414C" w:rsidRDefault="006345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молекулярную идентификацию возбудителей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проанализировать их видовое разнообразие у пациентов в г. Астана.</w:t>
      </w:r>
    </w:p>
    <w:p w:rsidR="00CF414C" w:rsidRDefault="006345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Исследовать чувствительность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изолированных в г. Астане, к системным антимикотическим препаратам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vitro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F414C" w:rsidRDefault="006345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Разработать алгоритм диагностики и ведения пациентов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рецидивирующих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персистирующих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форм.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и методы исследования: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цели и решения поставленных задач разработана комплексная программа исследования.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 термин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«генотипы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в настоящей работе понимаются видовые и линейные кластеры, определённые методом ПЦР-амплификации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секвенирования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ITS-региона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рДНК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первом этапе был изучен отечественный и зарубежный опыт по вопросам диагностики и терапии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</w:t>
      </w:r>
      <w:r>
        <w:rPr>
          <w:rFonts w:ascii="Times New Roman" w:eastAsia="Times New Roman" w:hAnsi="Times New Roman" w:cs="Times New Roman"/>
          <w:sz w:val="28"/>
          <w:szCs w:val="28"/>
        </w:rPr>
        <w:t>атофитий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Поиск зарубежных и отечественных литературных источников по заявленной тематике проводился в базах данных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PubMed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eLIBRARY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Сochrane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Library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втором этапе проводилось обсервационное поперечное исследование. Исследование проведено в 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Хельсинкской декларацией (2013) и одобрено Локальным биоэтическим комитетом НАО «Медицинский университет Астана» (протокол № 2 от 23 февраля 2023 г.). В исследовании приняли участие 343 пациентов обоего пола всех возрастных групп с предполагаемым диагн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озом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обратившиеся в дерматологический блок многопрофильной городской больницы №3 г. Астаны. Расчет объема выборки был произведен с использованием онлайн-калькулятора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OpenEpi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95% доверительном уровне, ожидаемой частоте 50% и допустимой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шибке ±5%. Критериями для включения в исследование был предполагаемый диагноз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(микозы гладкой кожи, микозы волосистой части головы (ВЧГ), микозы крупных складок) и наличие подписанного добровольного информированного согласия кандидата или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родителей/законного представителя на участие в исследовании. Критериями для исключения были проведение терапии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последнего 1 месяца до начала исследования, беременность, участие в других клинических исследованиях в течение последних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месяцев, отсутствие готовности к сотрудничеству с врачом-исследователем, отказ от участия в исследовании.  Проводился опрос пациентов для выявления социальных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эпидемиологических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факторов риска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получения анамнеза заболевания, анамнеза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эпидемиологического анамнеза. Всем пациентам проводилась оценка дерматологического статуса в соответствии с клиническим протоколом по диагностике и лечению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утвержденным Национальным научным центром развития здравоохранения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рбековой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здравоохранения Республики Казахстан (протокол № 48 от 5 декабря 2018 г.). Оценивалась локализация патологических очагов (ВЧГ, гладкая кожа, крупные складки), площадь поражения кожи, степень выраженности симптомов заболевания, что поз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воляло оценить клиническую тяжесть болезни. Также осуществлялся забор клинического материала (чешуек кожи и/или волос) с пораженных участков кожи и проведение его микроскопического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-морфологического исследования с посевом </w:t>
      </w:r>
      <w:r>
        <w:rPr>
          <w:rFonts w:ascii="Times New Roman" w:eastAsia="Times New Roman" w:hAnsi="Times New Roman" w:cs="Times New Roman"/>
          <w:sz w:val="28"/>
          <w:szCs w:val="28"/>
        </w:rPr>
        <w:t>на питательную среду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декстрозой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необходимости для оценки связи между категориальными переменными использовался критерий согласия χ² (Пирсона) или точный критерий Фишера.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Статистическая значимость определялась при уровне p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&lt; 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,05.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же этапе в рамках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роведённого обсервационного поперечного исследования был выполнен анализ типа «случай–контроль» для выявления значимых социальных и эпидемиологических факторов риска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руппами сравнения были пациенты с подтверждённой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(положительн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результат микроскопии) и пациенты с отрицательным результатом микроскопического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11D81">
        <w:t xml:space="preserve"> </w:t>
      </w:r>
      <w:r w:rsidR="00D11D81" w:rsidRPr="00D11D81">
        <w:rPr>
          <w:rFonts w:ascii="Times New Roman" w:hAnsi="Times New Roman" w:cs="Times New Roman"/>
          <w:sz w:val="28"/>
        </w:rPr>
        <w:t xml:space="preserve">Для выявления факторов, связанных с </w:t>
      </w:r>
      <w:proofErr w:type="spellStart"/>
      <w:r w:rsidR="00D11D81" w:rsidRPr="00D11D81">
        <w:rPr>
          <w:rFonts w:ascii="Times New Roman" w:hAnsi="Times New Roman" w:cs="Times New Roman"/>
          <w:sz w:val="28"/>
        </w:rPr>
        <w:t>дерматофитиями</w:t>
      </w:r>
      <w:proofErr w:type="spellEnd"/>
      <w:r w:rsidR="00D11D81" w:rsidRPr="00D11D81">
        <w:rPr>
          <w:rFonts w:ascii="Times New Roman" w:hAnsi="Times New Roman" w:cs="Times New Roman"/>
          <w:sz w:val="28"/>
        </w:rPr>
        <w:t xml:space="preserve">, сначала была проведена однофакторная логистическая регрессия. На этом этапе рассчитывались грубые отношения шансов, отражающие связь каждого отдельного фактора с наличием </w:t>
      </w:r>
      <w:proofErr w:type="spellStart"/>
      <w:r w:rsidR="00D11D81" w:rsidRPr="00D11D81">
        <w:rPr>
          <w:rFonts w:ascii="Times New Roman" w:hAnsi="Times New Roman" w:cs="Times New Roman"/>
          <w:sz w:val="28"/>
        </w:rPr>
        <w:t>дерматофитии</w:t>
      </w:r>
      <w:proofErr w:type="spellEnd"/>
      <w:r w:rsidR="00D11D81" w:rsidRPr="00D11D81">
        <w:rPr>
          <w:rFonts w:ascii="Times New Roman" w:hAnsi="Times New Roman" w:cs="Times New Roman"/>
          <w:sz w:val="28"/>
        </w:rPr>
        <w:t xml:space="preserve"> без учета влияния других переменных. Переменные с уровнем значимости p≤0,25 в одновариантном анализе были выбраны в качестве кандидатов для построения многомерной модели. В результате многофакторной логистической регрессии были получены скорректированные отношения шансов, которые учитывают влияние всех вошедших в модель переменных и отражают независимый вклад каждого фактора в риск развития </w:t>
      </w:r>
      <w:proofErr w:type="spellStart"/>
      <w:r w:rsidR="00D11D81" w:rsidRPr="00D11D81">
        <w:rPr>
          <w:rFonts w:ascii="Times New Roman" w:hAnsi="Times New Roman" w:cs="Times New Roman"/>
          <w:sz w:val="28"/>
        </w:rPr>
        <w:t>дерматофитии</w:t>
      </w:r>
      <w:proofErr w:type="spellEnd"/>
      <w:r w:rsidR="00D11D81" w:rsidRPr="00D11D81">
        <w:rPr>
          <w:rFonts w:ascii="Times New Roman" w:hAnsi="Times New Roman" w:cs="Times New Roman"/>
          <w:sz w:val="28"/>
        </w:rPr>
        <w:t xml:space="preserve">. В связи с тем, что клинические формы </w:t>
      </w:r>
      <w:proofErr w:type="spellStart"/>
      <w:r w:rsidR="00D11D81" w:rsidRPr="00D11D81">
        <w:rPr>
          <w:rFonts w:ascii="Times New Roman" w:hAnsi="Times New Roman" w:cs="Times New Roman"/>
          <w:sz w:val="28"/>
        </w:rPr>
        <w:t>дерматофитии</w:t>
      </w:r>
      <w:proofErr w:type="spellEnd"/>
      <w:r w:rsidR="00D11D81" w:rsidRPr="00D11D81">
        <w:rPr>
          <w:rFonts w:ascii="Times New Roman" w:hAnsi="Times New Roman" w:cs="Times New Roman"/>
          <w:sz w:val="28"/>
        </w:rPr>
        <w:t xml:space="preserve"> существенно различаются по возрастному распределению, выборка была разделена на две возрастные группы: до 18 лет, 18 лет и старше. Такое деление позволило учесть возрастно-специфические особенности структуры факторов риска и минимизировать влияние различий в типах возбудителей и формах заболевания без необходимости прямого разделения по клинической форме. Для каждой возрастной группы строилась отдельная логистическая модель с включением факторов, прошедших предварительный отбор (p ≤ 0,25) и соответствующих </w:t>
      </w:r>
      <w:r w:rsidR="00D11D81">
        <w:rPr>
          <w:rFonts w:ascii="Times New Roman" w:hAnsi="Times New Roman" w:cs="Times New Roman"/>
          <w:sz w:val="28"/>
        </w:rPr>
        <w:t xml:space="preserve">возрастной специфике подгруппы.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Устойчивость построенных моделей оценивалась с учётом правила EPV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events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variable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согласно которому на каждый включённый фактор должно приходиться не менее 10 случаев с целевым исходом. В моделях, построенных отдельно для детей (129 случаев, 6 перем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енных) и взрослых (183 случая, 9 переменных), значения EPV составили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21,5 и 20,3 соответственно, что превышает рекомендуемый минимум и подтверждает надёжность обеих моделей. Для проверки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мультиколлинеарности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переменными-предикторами был проведен 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показателей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Tolerance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VIF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Variance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Inflation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Factor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Значения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Tolerance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&gt; 0,2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VIF&lt;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интерпретировались как отсутствие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мультиколлинеарности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Качество подгонки моделей оценивалось с использованием критерия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Хосмера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Лемешоу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показателя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Нагелькерке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проверки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дискриминативной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каждой модели строилась ROC-кривая с расчётом площади под кривой (AUC).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коэффициенты логистической регрессии (B), отражающие логарифм отношения шансов, использовались для расчёта весов (баллов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Все коэффициенты B были нормированы относительно максимального значения коэффициента логистической регрессии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Bmax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(контакт с кошкой, B = 1,677 – у детей; занятие контактными видами спорта, B = 1,311 – у взрослых), которому условно присваивалось 10 балло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Полученные значения округлялись до ближайшего целого числа. На основе этих расчётов были сформированы две шкалы, отражающие относительный вклад каждого фактора в риск заболевания у взрослых и детей. Для оценки прогностической точности каждой балльной 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алы была построена ROC-кривая на основе суммарного балла по шкале. ROC-анализ проводился на той же выборке, на которой обучалась модель, до выделения градаций риска. Сравнение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дискриминативной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шкал и соответствующих логистических моделей выполн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ено путём сопоставления их диагностических характеристик, включая значения AUC, чувствительности и специфичности. </w:t>
      </w:r>
    </w:p>
    <w:p w:rsidR="00CF414C" w:rsidRDefault="00D11D81" w:rsidP="00D11D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практического применения каждой из разработанных шкал были выделены три уровня риска: низкий, средний и высокий. Для определения границ трёх</w:t>
      </w:r>
      <w:bookmarkStart w:id="0" w:name="_GoBack"/>
      <w:bookmarkEnd w:id="0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уровневой шкалы риска использовались показатели чувствительности и специфичности, рассчитанные при различных значениях суммы баллов. Порог низкого риска </w:t>
      </w:r>
      <w:proofErr w:type="gramStart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определяли</w:t>
      </w:r>
      <w:proofErr w:type="gram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значение, при котором чувствительность составляла ≥90%, при допустимом снижении специфичности до ≤50%. Порог высокого риска определяли на основе максимального значения индекса </w:t>
      </w:r>
      <w:proofErr w:type="spellStart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>Юдена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>Youden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>Index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>Sensitivity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>Specificity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1), рассчитанного по результатам ROC-анализа суммарной балльной шкалы. Промежуточные значения между этими порогами были отнесены к категории умеренного риска.</w:t>
      </w:r>
    </w:p>
    <w:p w:rsidR="00D11D81" w:rsidRPr="00D11D81" w:rsidRDefault="00D11D81" w:rsidP="00D11D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третьем этапе проводилась молекулярная идентификация </w:t>
      </w:r>
      <w:proofErr w:type="spellStart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дерматофитов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помощи полимеразной цепной реакции. При анализе спектра возбудителей </w:t>
      </w:r>
      <w:proofErr w:type="spellStart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оценки связи между категориальными переменными использовался критерий согласия χ² (Пирсона). Перед применением критерия оценивались ожидаемые значения в таблицах сопряжённости: χ² применялся в случаях, когда не менее 75-80% ячеек содержали ожидаемые значения ≥5, а ни одно ожидаемое значение не было &lt;1. В случаях нарушения этих условий использовались точный критерий Фишера или приближённая оценка значимости с использованием метода Монте-Карло (10000 итераций, доверительный уровень 99%). При необходимости дополнительно рассчитывался критерий отношения правдоподобий (</w:t>
      </w:r>
      <w:proofErr w:type="spellStart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>Likelihood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Ratio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четвертом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выполнялось определение чувствительности к противогрибковым препаратам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методом EUCAST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E.Def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11.0.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полученных значений минимальных ингибирующих концентраций (МИК)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проводился с использованием непа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раметрических методов. Сравнение МИК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внутри каждого вида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выполнялось с использованием критерия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Уилкоксона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парных выборок, учитывая зависимость данных и отсутствие нормального распределения. Для межвидового сравнен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значений МИК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 критерий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Краскела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Уоллиса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последующим пост-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поправкой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Бонферрони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для парных сравнений между группами. Для оценки корреляции между значениями МИК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лся ранговый коэффициент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Спирмена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414C" w:rsidRDefault="006345F7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пятом этапе был разработан алгоритм диагностики и ведения пациентов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рецидивирующих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персистирующих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форм.</w:t>
      </w:r>
      <w:r>
        <w:t xml:space="preserve"> 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статистической обработки всех данных использовался пакет для социальных наук SPSS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Statistical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Package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Social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Sciences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версия 26.0.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Научная новизна результатов исследования: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Впервые в г. Астана выполнена комплексная молекулярная идентификация 150 клинических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подтверждением видовой принадлежности методом </w:t>
      </w:r>
      <w:r>
        <w:rPr>
          <w:rFonts w:ascii="Times New Roman" w:eastAsia="Times New Roman" w:hAnsi="Times New Roman" w:cs="Times New Roman"/>
          <w:sz w:val="28"/>
          <w:szCs w:val="28"/>
        </w:rPr>
        <w:t>ПЦР-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секвенирования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ITS-региона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рДНК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регистрацией штаммов в базе данных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Впервые на территории региона выявлен и охарактеризован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признаками сниженной чувствительности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тербинафину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Впервые в Казахстане пров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едён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vitro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 чувствительности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тербинафину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итраконазолу по протоколу EUCAST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E.Def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11.0, с выявлением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видоспецифических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различий и признаков возможного снижения чувствительности у большей части штаммов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Впервы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в Казахстане разработаны две шкалы стратификации риска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(для взрослых и для детей), основанные на достоверных эпидемиологических факторах (AOR, p 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&lt; 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,05) и подтверждённые ROC-анализом (AUC взрослой шкалы – 0,749; детской – 0,705). Обе шкалы а</w:t>
      </w:r>
      <w:r>
        <w:rPr>
          <w:rFonts w:ascii="Times New Roman" w:eastAsia="Times New Roman" w:hAnsi="Times New Roman" w:cs="Times New Roman"/>
          <w:sz w:val="28"/>
          <w:szCs w:val="28"/>
        </w:rPr>
        <w:t>даптированы для применения в амбулаторной практике.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Практическая значимость: </w:t>
      </w:r>
    </w:p>
    <w:p w:rsidR="00CF414C" w:rsidRDefault="006345F7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Практическая значимость диссертационного исследования заключается в разработке и адаптации для амбулаторной практики двух шкал индивидуальной оценки риска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взрос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лых и детей), предназначенных для раннего выявления и стратификации пациентов.</w:t>
      </w:r>
    </w:p>
    <w:p w:rsidR="00CF414C" w:rsidRDefault="006345F7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Разработанный клинико-диагностический алгоритм может быть рекомендован для применения в амбулаторной и стационарной практике дерматовенерологов, терапевтов и микологов, так как обеспечивает системный подход к ведению пациентов на всех этапах – от первичной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 до коррекции терапии при рецидивах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персистирующем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течении, что способствует повышению эффективности лечения и снижению вероятности повторных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обращений.</w:t>
      </w:r>
    </w:p>
    <w:p w:rsidR="00CF414C" w:rsidRDefault="006345F7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Комплексный учёт этиологического профиля возбудителей, включая их молекулярную идентификацию,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клинико-эпидемиологических факторов и признаков сниженной чувствительности к системным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антимикотикам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 основу для персонализированного подхода к ведению пациентов и может использоваться для оптимизации тактики лечения и рационального использования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 здравоохранения.</w:t>
      </w:r>
    </w:p>
    <w:p w:rsidR="00CF414C" w:rsidRDefault="006345F7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положения, выносимые на защиту: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414C" w:rsidRDefault="006345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пациентов в г. Астана статистически значимо ассоциирована с рядом эпидемиологических факторов риска (p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&lt; 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,05). Наиболее значимыми факторами у детей являются: контакт с кошк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контакт с больным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родственником и занятия контактными видами спорта; у взрослых – контакт с больным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родственником, посещение массажного салона и половой контакт с инфицированным партнёром. На основе многофакторного анализа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азработаны две шкалы индивидуальной оценки риска – отдельно для взрослых (AUC = 0,749) и для детей (AUC = 0,705).</w:t>
      </w:r>
    </w:p>
    <w:p w:rsidR="00CF414C" w:rsidRDefault="006345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Молекулярная идентификация 150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показала доминирование зоофильных видов (67,3%), преимущественно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Антропофильные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частности,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чаще выявлялись при паховой локализации. Установлена статистически значимая связь между видом возбудителя и каждым из следующих факторов: возрастом пациентов,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клинической формой и сезоном манифестации заболевания.</w:t>
      </w:r>
    </w:p>
    <w:p w:rsidR="00CF414C" w:rsidRDefault="006345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впервые идентифицирован в г. Астана в ходе настоящего исследования, у семи пациентов без миграционного анамнеза, что может свидетельствовать о локальной циркуляции. Это подч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ёркивает необходимость внедрения молекулярной диагностики и регулярного мониторинга этиологической структуры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414C" w:rsidRDefault="006345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видоспецифические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особенности чувствительности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итраконазолу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vitro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Повышенные значения МИК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ербинафина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отмечены у 71,4%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Статистически значимые различия между видами подтверждают необходимость видовой идентификации при выборе терапии (p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&lt; 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,0001).</w:t>
      </w:r>
    </w:p>
    <w:p w:rsidR="00CF414C" w:rsidRDefault="006345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 алгоритм диагностики и ведения пациентов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включающий клинико-эпидемиологическую оценку, лабораторное подтверждение, молекулярную идентификацию, оценку чувствительности к системным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антимикотикам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коррекцию терапии при рецидивах или персистенции инфекции.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Результаты проведенной работы:</w:t>
      </w:r>
    </w:p>
    <w:p w:rsidR="00CF414C" w:rsidRDefault="006345F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исследование были включены 343 пациента с клиническими признаками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Мужчины составили 57,4%, женщины – 42,6%. Средний возраст пациентов – 22,9 ± 16,5 лет (2–83 года). В группе 0–10 лет чаще встречались мальчики (57 против 25; χ² = 22,9;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=3;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p&lt;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0,001). Подавляющее большинство пациентов проживали в городе – 283 человека (82,5%). По роду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занятий преобладали школьники – 112 человек (32,7%), офисные сотрудники – 70 (20,4%) и дети, посещающие детские сады – 45 (13,1%). 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клиническим данным до 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ификации лабораторными методами, наиболее часто предполагались микоз гладкой кожи – у 199 пациентов (58,0%),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ВЧГ – у 95 пациентов (27,7%) и паховая форма – у 49 пациентов (14,3%).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ВЧГ чаще всего отмечались одиночные или множес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твенные эритематозно-сквамозные очаги с выпадением волос в теменной области диаметром от 1 до 2 см. При микозе гладкой кожи высыпания представляли собой типичные кольцевидные очаги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эритематозным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венчиком по периферии, чаще всего локализованные на конечно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стях. При паховой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выявлялись обширные сливающиеся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эритематозные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очаги с чёткими границами и периферическим воспалительным валиком.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ВЧГ выявлялась преимущественно у детей (медианный возраст – 11 лет),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гладкой кожи –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подростков и молодых взрослых (17 лет), а паховая форма – у взрослых (27 лет). Среди пациентов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ВЧГ и паховой формой чаще встречались мужчины (74,3% и 74,4% соответственно). Различия по возрасту и полу между группами были статистически значи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мыми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p&lt;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0,01). Отмечается преобладание паховой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взрослых мужчин,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ВЧГ – у детей, преимущественно у мальчиков. У 70,5% пациентов длительность заболевания на момент обращения составляла менее 30 дней. Только 4,4% пациентов обратил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 спустя более 6 месяцев от начала симптомов.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y1jb8m3pcwpz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изучения эпидемиологических факторов у детей до 18 лет (160 человек) было установлено, что наиболее распространёнными факторами риска являются контакт с кошками (45,0%), контакт с больным родственник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(24,4%), занятия контактными видами спорта (30,0%), посещение бань (17,5%). Занятие контактными видами спорта (χ² = 10,805;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1; p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&lt; 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,01) и посещение бани (χ² = 4,853;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1; p &lt; 0,05) было чаще связано с поражением гладкой кожи, а контакт с кошкой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(χ² = 8,509;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1; p &lt; 0,01), напротив, чаще наблюдался у пациентов с поражением ВЧГ. Многофакторный логистический регрессионный анализ (AUC = 0,755; 95% ДИ: 0,702–0,808) показал, что значимыми предикторами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были: контакт с кошкой (A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 = 5,35; p = 0,002), контакт с инфицированным родственником (AOR = 5,26; p = 0,009), занятия контактными видами спорта (AOR = 4,91; p = 0,016), посещение бани (AOR = 3,93; p = 0,039), мужской пол (AOR = 2,84; p = 0,024) и возраст 0–10 лет (AOR = 2,52; p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0,049). На основе этих данных была разработана шкала оценки вероятности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(AUC = 0,705; 95% ДИ: 0,661–0,749), включающая шесть факторов риска с суммарной шкалой до 49 баллов и градацией на низкий (0–19 баллов), умеренный (20–30 баллов)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высокий (31 баллов и выше) уровень риска.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Аналогичный анализ, проведённый у взрослых пациентов (n=183), показал, что среди значимых поведенческих и социальных факторов наиболее распространёнными были: половой контакт с инфицированным или неизвестным пар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тнёром (28,4%), контакт с кошками (23,5%), посещение бань (20,2%), посещение массажных салонов (17,5%). Была выявлена статистически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значимая связь между полом и клинической формой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(χ² = 12,057;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2; p = 0,0024): мужчины значительно чаще 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адали паховой формой заболевания, тогда как у женщин преобладали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ВЧГ и гладкой кожи. Также установлена связь между наличием контакта с больным родственником и формой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(p = 0,0091; точный критерий Фишера) – при наличии такого контак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чаще регистрировались случаи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ВЧГ и гладкой кожи, а паховая форма почти не встречалась. Существенная ассоциация обнаружена и между половым контактом с инфицированным или неизвестным партнёром и клинической формой заболевания (χ² = 50,99;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2; p &lt;0,0001): при наличии этого фактора резко возрастала доля паховой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Кроме того, достоверной оказалась связь между контактом с кошкой и формой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(χ² = 31,46;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2; p &lt;0,0001) – у контактировавших с животными чаще выявлялась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ерматофития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ВЧГ. По результатам многофакторного логистического анализа (AUC = 0,772; 95%ДИ: 0,722–0,822) достоверно повышали риск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факторы: половой контакт с инфицированным или неизвестным партнёром (AOR = 4,01; p = 0,002), контакт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больным родственником (AOR = 3,26; p = 0,028), контакт с кошкой (AOR = 3,00; p = 0,012), занятия контактными видами спорта (AOR = 3,71; p = 0,044), посещение массажного салона (AOR = 3,54; p = 0,012) и посещение бани (AOR = 2,45; p = 0,049). Разработана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ответствующая шкала оценки риска для взрослых (AUC = 0,749; 95% ДИ: 0,705–0,793).  Максимальный балл по шкале – 52, с тремя уровнями риска: низкий (0–20 баллов), умеренный (21–35 баллов) и высокий (36 баллов и выше).</w:t>
      </w:r>
    </w:p>
    <w:p w:rsidR="00CF414C" w:rsidRDefault="006345F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Молекулярная идентификация возбудителей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у 150 клинических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выделенных от пациентов с подтверждённым диагнозом. Все идентифицированные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отнесены к пяти видам: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(n=81),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tonsurans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(n=24),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verrucosum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(n=20),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(n=18) 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(n=7). Обнаружено, что 101 (67,3%)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отнесены к зоофильным видам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verrucosum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49 (32,7%) –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антропофильным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tonsurans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Наиболее распространённым возбудителем был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54,0% всех идентифицированных штаммов. 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Установлена статистически значимая связь между видом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клинической формой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(χ² = 129,83; p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&lt; 0,001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а такж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между видом возбудителя и возрастной категорией пациентов (χ² = 33,33; p &lt; 0,001).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ВЧГ и гладкой кожи преобладал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(68,6% и 62,1% соответственно), при паховой форме доминировали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(72%)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(20%). Зоофильные виды чаще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регистрировались у детей, а у взрослых отмечалось увеличение доли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антропофильных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видов и видовое разнообразие возбудителей. 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часто выявлялся в группе 0–10 лет (73,3%), в то время как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преимущественно обнаруживался у лиц старше 21 года.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ВЧГ медианный возраст при зоофильной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этиологии составил 9,5 лет,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антропофильной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15 лет. Для гладкой кожи возрастные различия между группами были минимальны.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Паховая форма регистрировалась практически исключительно у взрослых (медиана – 28,5 лет). Анализ сезонных колебаний показал, что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чаще выявлялись в весенне-летний период,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verrucosum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tonsurans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 осенне-зимний. Различия носили статистически значимый характер (χ² = 11,34; p = 0,01).  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эпидемиологическое значение имело выявление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в 7 случаях (4,7%), ранее не описанных на территории Казахстана. Все пациен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проживали в г. Астана, не имели миграционных контактов и не выезжали за пределы региона. В большинстве случаев поражение локализовалось в паховой области и характеризовалось длительным или рецидивирующим течением. У 6 из 7 пациентов отмечалась низкая 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фективность терапии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F414C" w:rsidRPr="00D11D81" w:rsidRDefault="006345F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Проведена оценка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vitro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чувствительности 150 клинических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итраконазолу методом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микродилюции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протоколу EUCAST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E.Def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11.0. Исследованы</w:t>
      </w:r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изоляты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Microsporum</w:t>
      </w:r>
      <w:proofErr w:type="spellEnd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canis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(n=81), </w:t>
      </w:r>
      <w:proofErr w:type="spellStart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Trichophyton</w:t>
      </w:r>
      <w:proofErr w:type="spellEnd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tonsurans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(n=24), </w:t>
      </w:r>
      <w:proofErr w:type="spellStart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Trichophyton</w:t>
      </w:r>
      <w:proofErr w:type="spellEnd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verrucosum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(n=20), </w:t>
      </w:r>
      <w:proofErr w:type="spellStart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Trichophyton</w:t>
      </w:r>
      <w:proofErr w:type="spellEnd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interdigitale</w:t>
      </w:r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(n=18)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Trichophyton</w:t>
      </w:r>
      <w:proofErr w:type="spellEnd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D11D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indotineae</w:t>
      </w:r>
      <w:proofErr w:type="spellEnd"/>
      <w:r w:rsidRPr="00D11D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(n=7).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Значения МИК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клинических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варьировали в широких пределах – от 0,008 до 2,000 мг/л. Наимен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ьшие значения наблюдались 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(диапазон 0,008–0,125 мг/л, МИК₅₀ – 0,016 мг/л, МИК₉₀ – 0,125 мг/л),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tonsurans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(0,016–0,063 мг/л, МИК₅₀ – 0,031 мг/л, МИК₉₀ – 0,063 мг/л)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(0,016–0,125 мг/л, МИК₅₀ – 0,0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 мг/л, МИК₉₀ – 0,063 мг/л). 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verrucosum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диапазон значений МИК составил 0,016–0,125 мг/л, МИК₅₀ – 0,031 мг/л и МИК₉₀ – 0,125 мг/л. Наиболее высокие значения отмечены 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(0,063–2,000 мг/л), с МИК₅₀ = 0,500 мг/л. В целом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совокупной выборке (n=150), МИК₅₀ составил 0,031 мг/л, МИК₉₀ – 0,125 мг/л.     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Значения МИК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находились в диапазоне от 0,008 до 1,000 мг/л. 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tonsurans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регистрировались наиболее низкие значения –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пределах 0,031–0,125 мг/л. В обоих случаях МИК₅₀ составлял 0,063 мг/л, а МИК₉₀ – 0,125 мг/л. Для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диапазон составил 0,008–0,125 мг/л, МИК₅₀ – 0,063 мг/л. 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verrucosum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отмечался более широкий диапазон (0,125–1,000 мг/л),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МИК₅₀ – 0,500 мг/л, МИК₉₀ – 1,000 мг/л. 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значения варьировали от 0,063 до 1,000 мг/л, МИК₅₀ составил 0,250 мг/л, МИК₉₀ – 0,500 мг/л. В совокупности по всем видам МИК₅₀ был равен 0,125 мг/л, МИК₉₀ – 0,500 мг/л.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Превышение ориентировочног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ECOFF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(0,125 мг/л; EUCAST,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E.Def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11.0, 2022) зафиксировано у 5 из 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(71,4%).  При этом значения МИК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данного вида не превышали ориентировочный ECOFF (0,250 мг/л). 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всех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значения МИК к обоим препаратам оставались в пределах диапазона дикого типа. Следует отметить,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официальные ECOFF для этого вида пока не установлены, поэтому интерпретация проводилась по аналогии с данными для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tonsurans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значения МИК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сопоставимы с результатами исследования иранских авторов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Pashootan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2022). В их работе методом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микродилюции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(CLSI M38-A2) определены МИК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диапазоне 0,003–0,125 мг/л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0,06–8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мг/л.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тербинафина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полученные данные свидетельствуют об отсутствии признаков снижения чувствительности и об однородности исследованных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диапазон МИК оказался существенно уже, чем в литературных данных, что может указывать на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ньшую вариабельность популяции в нашей выборке. В то же время, ввиду отсутствия утверждённых ECOFF и клинических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брейкпоинтов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tonsurans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интерпретация этих результатов должна оставаться осторожной.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verr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ucosum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связи с отсутствием официальных порогов чувствительности, интерпретация проводилась описательно. 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Внутривидовое сравнение МИК между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(критерий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Уилкоксона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показало статистически значимые различия для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(p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&lt; 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,0001),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verrucosum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(p = 0,0001),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tonsurans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(p &lt; 0,0021) 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(p &lt; 0,0120). 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различия также оказались статистически значимыми (p = 0,0431), однако ввиду ограниченного числа наб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людений (n = 7) данный результат требует осторожной интерпретации.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Межвидовой анализ (тест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Краскел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Уоллиса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подтвердил статистически значимые различия по МИК для обоих препаратов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H = 51,48; p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&lt; 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,00001;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H = 40,98; p &lt; 0,00001).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пост-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поправкой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Бонферрони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тербинафина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достоверные различия установлены между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(p = 0,0003), а также между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interdigitale </w:t>
      </w:r>
      <w:r>
        <w:rPr>
          <w:rFonts w:ascii="Times New Roman" w:eastAsia="Times New Roman" w:hAnsi="Times New Roman" w:cs="Times New Roman"/>
          <w:sz w:val="28"/>
          <w:szCs w:val="28"/>
        </w:rPr>
        <w:t>(p 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&lt; 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,00001).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итракона</w:t>
      </w:r>
      <w:r>
        <w:rPr>
          <w:rFonts w:ascii="Times New Roman" w:eastAsia="Times New Roman" w:hAnsi="Times New Roman" w:cs="Times New Roman"/>
          <w:sz w:val="28"/>
          <w:szCs w:val="28"/>
        </w:rPr>
        <w:t>зола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достоверные различия наблюдались между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tonsurans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(p = 0,0002),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interdigitale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(p = 0,0002), а также между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verrucosum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interdigitale </w:t>
      </w:r>
      <w:r>
        <w:rPr>
          <w:rFonts w:ascii="Times New Roman" w:eastAsia="Times New Roman" w:hAnsi="Times New Roman" w:cs="Times New Roman"/>
          <w:sz w:val="28"/>
          <w:szCs w:val="28"/>
        </w:rPr>
        <w:t>(p = 0,0021).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Корреляционный анализ МИК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коэффициента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Спирмена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выявил статистически значимой взаимосвязи (p&gt;0,05 для каждого вида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что указывает на отсутствие признаков перекрёстной устойчивости у исследованных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штаммов.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данных, полученных в ходе исследования, разработан структурированный клинико-диагностический алгоритм, направленный на повышение эффективности ведения пациентов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включая рецидивирующие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персистирующие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 забол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евания. Алгоритм учитывает весь диагностический и лечебный маршрут пациента – от первичного осмотра до коррекции терапии при неэффективности стандартных подходов. Ключевыми элементами алгоритма стали комплексная клиническая оценка, лабораторная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диагностика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применением молекулярных методов и определением чувствительности, а также адаптированная терапевтическая тактика. 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этапом является первичный клинический осмотр с анализом жалоб, анамнеза и локального статуса. Применяется авторская шкала для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индивидуального риска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основании которой принимается решение о необходимости лабораторного подтверждения диагноза. При наличии типичной клинической картины или умеренного/высокого балла по анкете выполняется микроскопия с КОН-препаратом,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необходимости – повторная, либо проводится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посев.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положительном результате рекомендовано выполнение ПЦР с целью уточнения вида возбудителя. Особое внимание в алгоритме уделяется идентификации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потенциально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стойчивого вида. Для таких случаев предложены отдельные диагностические и терапевтические подходы, включая использование системной терапии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wrfopw45g1xq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 этап – выбор лечебной тактики на основе вида возбудителя, формы заболевания и возрастных 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аничений. Разработаны рекомендации по системной и местной терапии, в том числе с учётом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off-label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младше 12 лет при наличии показаний и информированного согласия. Алгоритм включает оценку эффективности лечения через 4-6 неде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ль. При рецидиве заболевания или отсутствии клинического улучшения выполняют повторную диагностику с углублённым обследованием, включающим микроскопию, ПЦР, оценку факторов риска и, при возможности, определение МИК системных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антимикотиков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протоколом EUCAST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E.Def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11.0.</w:t>
      </w:r>
    </w:p>
    <w:p w:rsidR="00CF414C" w:rsidRDefault="00634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Завершающим этапом является контроль эффективности после коррекции терапии и последующее диспансерное наблюдение. Алгоритм включает меры профилактики, санации и информирования пациентов.</w:t>
      </w:r>
    </w:p>
    <w:p w:rsidR="00CF414C" w:rsidRDefault="006345F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CF414C" w:rsidRDefault="006345F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структуре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пациентов г. Астаны выявлены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гладкой кожи (53,3%), волосистой части головы (28,9%) и паховой области (17,8%).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волосистой части головы выявлялась чаще у мальчиков, паховая форма – у взрослых мужчин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p&lt;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. У детей поражение гладкой кожи ассоциировалось с контактным спортом и посещением бани, волосистой части головы – с контактом с кошками (p 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&lt; 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,01). У взрослых паховая форма ассоциировалась с половым контактом с инфицированным партнёром (p 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&lt; 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,0001),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sz w:val="28"/>
          <w:szCs w:val="28"/>
        </w:rPr>
        <w:t>матофития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волосистой части головы – с контактом с больным родственником (p = 0,0091) и кошками (p &lt; 0,0001). Наиболее значимые предикторы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детей – контакт с кошками, с больным родственником и занятия контактным спортом; у взрослых – контакт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больным родственником, посещение массажного салона и половой контакт с инфицированным партнёром.  Разработаны шкалы индивидуального риска (AUC = 0,749 – взрослые; 0,705 – дети).</w:t>
      </w:r>
    </w:p>
    <w:p w:rsidR="00CF414C" w:rsidRDefault="006345F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молекулярной идентификации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(150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выявлены виды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Micr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osporum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сanis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tonsurans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interdigitale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verrucosum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Доминировали зоофильные формы (67,3%), преимущественно при поражении волосистой части и гладкой кожи.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Антропофильные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 преобладали при паховой локализации, где в 92% случаев выявлялись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Установлена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 между видом возбудителя и клинической формой (p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&lt; 0,001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 также возрастом пациентов (p &lt; 0,001).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Microsporum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interdigitale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чаще регистрировались в весенне-летний период,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verrucosum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tonsurans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 осен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не-зимний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p&lt;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0,05). Особое внимание вызывает выявление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ранее не описанного в Казахстане. </w:t>
      </w:r>
    </w:p>
    <w:p w:rsidR="00CF414C" w:rsidRDefault="006345F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Чувствительность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итраконазолу определена для 150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дерматофитных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микродилюции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(EUCAST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E.Def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11.0). У большинст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штаммов сохранялась чувствительность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однако превышение ECOFF выявлено у 71,4%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может указывать на снижение чувствительности.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итраконазола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значения МИК оставались в пределах предполагаемого ECOFF.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ежвидовые различия по чувствительности к обоим препаратам были статистически значимыми, при этом корреляция между чувствительностью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тербинафину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итраконазолу отсутствовала. </w:t>
      </w:r>
    </w:p>
    <w:p w:rsidR="00CF414C" w:rsidRDefault="006345F7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 клинико-диагностический алгоритм 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включающий 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рвичную оценку (возрастные шкалы стратификации риска), лабораторную диагностику, выбор терапии и 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персистирующих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рецидивирующих форм. Алгоритм учитывает данные микроскопии, ПЦР-идентификации и чувствительности к системным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антимикотикам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условий) и ориентирован на раннее выявление случаев, связанных 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Trichophyton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indotineae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другими возбудителями со сниженной чувствительностью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тербинафину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Он может быть использован для систематизации подхода и индивидуализации терапии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e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CF414C">
        <w:trPr>
          <w:trHeight w:val="70"/>
        </w:trPr>
        <w:tc>
          <w:tcPr>
            <w:tcW w:w="9781" w:type="dxa"/>
          </w:tcPr>
          <w:p w:rsidR="00CF414C" w:rsidRDefault="006345F7">
            <w:pPr>
              <w:widowControl w:val="0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рактические рекомендации:</w:t>
            </w:r>
          </w:p>
        </w:tc>
      </w:tr>
    </w:tbl>
    <w:p w:rsidR="00CF414C" w:rsidRDefault="006345F7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раннего выявления пациентов с повышенным риском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использование предложенных шкал (отдельно для детей и взрослых), основанных на логистических регрессионных моделях и включающих ключевые клинико-эпидемиологические факторы. Шкал</w:t>
      </w:r>
      <w:r>
        <w:rPr>
          <w:rFonts w:ascii="Times New Roman" w:eastAsia="Times New Roman" w:hAnsi="Times New Roman" w:cs="Times New Roman"/>
          <w:sz w:val="28"/>
          <w:szCs w:val="28"/>
        </w:rPr>
        <w:t>ы могут применяться на этапе предварительной оценки, однако не заменяют лабораторного подтверждения диагноза.</w:t>
      </w:r>
    </w:p>
    <w:p w:rsidR="00CF414C" w:rsidRDefault="006345F7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пациентов с совокупностью факторов риска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рекомендовано проведение лабораторной диагностики, включая случаи с невыраженной клиническ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картиной. К числу общих для детей и взрослых факторов относятся: контакт с больным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родственником, контакт с кошками (домашними или бродячими), занятия контактными видами спорта, посещение общественных мест с повышенной влажностью (бани, 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уны и др.). У детей дополнительными факторами являются возраст до 10 лет и мужской пол; у взрослых – половой контакт с партнёром с признаками грибкового поражения и посещение массажных салонов. </w:t>
      </w:r>
    </w:p>
    <w:p w:rsidR="00CF414C" w:rsidRDefault="006345F7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особенно в случаях хронического, рецидивирующего или атипичного течения, рекомендуется проводить не только микроскопическое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исследование, но и видовую идентификацию возбудителя, желательно с использованием молекулярно-ген</w:t>
      </w:r>
      <w:r>
        <w:rPr>
          <w:rFonts w:ascii="Times New Roman" w:eastAsia="Times New Roman" w:hAnsi="Times New Roman" w:cs="Times New Roman"/>
          <w:sz w:val="28"/>
          <w:szCs w:val="28"/>
        </w:rPr>
        <w:t>етических методов (ПЦР-диагностики).</w:t>
      </w:r>
    </w:p>
    <w:p w:rsidR="00CF414C" w:rsidRDefault="006345F7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Ведение пациентов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дерматофитией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осуществлять в соответствии с поэтапным клинико-диагностическим алгоритмом, разработанным с учётом типичных, рецидивирующих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персистирующих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 заболевания. </w:t>
      </w:r>
    </w:p>
    <w:p w:rsidR="00CF414C" w:rsidRDefault="006345F7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Апробация 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аботы. </w:t>
      </w:r>
    </w:p>
    <w:p w:rsidR="00CF414C" w:rsidRDefault="006345F7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материалы работы были представлены в виде доклада на:</w:t>
      </w:r>
    </w:p>
    <w:p w:rsidR="00CF414C" w:rsidRDefault="006345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 Межвузовской научно-практической конференции «Хронические воспалительные процессы кожи. Междисциплинарные проблемы» (Астана, Казахстан – 15 марта 2023 г.);</w:t>
      </w:r>
    </w:p>
    <w:p w:rsidR="00CF414C" w:rsidRDefault="006345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VIII Евразийском Конгрессе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дерматологии, косметологии и эстетической медицины (Астана, Казахстан – 30-31 мая 2023 г.);</w:t>
      </w:r>
    </w:p>
    <w:p w:rsidR="00CF414C" w:rsidRDefault="006345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 конференции «INTEDECO. Интегративная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дерматовенерология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дерматокосметология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Новые стандарты взаимодействия» (Москва, Российская Федерация – 22-23 декабря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г.);</w:t>
      </w:r>
    </w:p>
    <w:p w:rsidR="00CF414C" w:rsidRDefault="006345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 Конгрессе Европейской Академии дерматологии и венерологии (Амстердам, Нидерланды – 25-28 сентября 2024 г.);</w:t>
      </w:r>
    </w:p>
    <w:p w:rsidR="00CF414C" w:rsidRDefault="006345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Международной научно-практической конференции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Astana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Medical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2024: Медицина будущего - интеграция науки, образования и практики»,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посвященной 60-летнему юбилею НАО "Медицинский университет Астана" (Астана, Казахстан – 14-15 октября 2024 г.);</w:t>
      </w:r>
    </w:p>
    <w:p w:rsidR="00CF414C" w:rsidRDefault="006345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 Межвузовской научно-практической конференции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Мультидисциплинарный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подход: взаимодействие общей практики,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дерматовенерологии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смежных дисци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плин» (Астана, Казахстан – 2 апреля 2025 г.).</w:t>
      </w:r>
    </w:p>
    <w:p w:rsidR="00CF414C" w:rsidRDefault="006345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IX Евразийском Конгрессе дерматологии, косметологии и эстетической медицины (Астана, Казахстан – 30-31 мая 2025 г.).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Публикации.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теме диссертации опубликовано 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научные работы, из них: 1 статья в издании, индексируемом в информационных базах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2 публикации в периодических изданиях Казахстана, рекомендуемых Комитетом по обеспечению качества в сфере науки и высшего образования Министерства нау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и высшего образования Республики Казахстан для публикации основных результатов научной деятельности (список 2), 1 тезис в материалах Международной научно-практической конференции. По результатам исследования получено 3 авторских свидетельства, имеется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 внедрения в практическое здравоохранение. 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Личный вклад диссертанта:</w:t>
      </w:r>
    </w:p>
    <w:p w:rsidR="00CF414C" w:rsidRDefault="006345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Автором самостоятельно проведён анализ литературных источников, выполнен обзор отечественной и зарубежной литературы по теме исследования.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Диссертант осуществила отбор пациентов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 с критериями включения и исключения, провела анкетирование и забор клинического материала. Автор принимала участие в обработке клинического материала, статистической обработке данных и интерпретации полученных результатов, а также участвовала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подготовке и написании всех публикаций по теме диссертации. </w:t>
      </w:r>
    </w:p>
    <w:sectPr w:rsidR="00CF414C">
      <w:footerReference w:type="default" r:id="rId8"/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F7" w:rsidRDefault="006345F7">
      <w:pPr>
        <w:spacing w:after="0" w:line="240" w:lineRule="auto"/>
      </w:pPr>
      <w:r>
        <w:separator/>
      </w:r>
    </w:p>
  </w:endnote>
  <w:endnote w:type="continuationSeparator" w:id="0">
    <w:p w:rsidR="006345F7" w:rsidRDefault="0063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14C" w:rsidRDefault="006345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11D81">
      <w:rPr>
        <w:color w:val="000000"/>
      </w:rPr>
      <w:fldChar w:fldCharType="separate"/>
    </w:r>
    <w:r w:rsidR="00D11D81">
      <w:rPr>
        <w:noProof/>
        <w:color w:val="000000"/>
      </w:rPr>
      <w:t>10</w:t>
    </w:r>
    <w:r>
      <w:rPr>
        <w:color w:val="000000"/>
      </w:rPr>
      <w:fldChar w:fldCharType="end"/>
    </w:r>
  </w:p>
  <w:p w:rsidR="00CF414C" w:rsidRDefault="00CF41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F7" w:rsidRDefault="006345F7">
      <w:pPr>
        <w:spacing w:after="0" w:line="240" w:lineRule="auto"/>
      </w:pPr>
      <w:r>
        <w:separator/>
      </w:r>
    </w:p>
  </w:footnote>
  <w:footnote w:type="continuationSeparator" w:id="0">
    <w:p w:rsidR="006345F7" w:rsidRDefault="0063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1CA"/>
    <w:multiLevelType w:val="multilevel"/>
    <w:tmpl w:val="DBC83A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6B0B77"/>
    <w:multiLevelType w:val="multilevel"/>
    <w:tmpl w:val="E96A2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25F3F"/>
    <w:multiLevelType w:val="multilevel"/>
    <w:tmpl w:val="964C7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24D7E8F"/>
    <w:multiLevelType w:val="multilevel"/>
    <w:tmpl w:val="2A26651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037706"/>
    <w:multiLevelType w:val="multilevel"/>
    <w:tmpl w:val="D8049F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5F4E5E"/>
    <w:multiLevelType w:val="multilevel"/>
    <w:tmpl w:val="4064A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4C"/>
    <w:rsid w:val="006345F7"/>
    <w:rsid w:val="00CF414C"/>
    <w:rsid w:val="00D1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EC16"/>
  <w15:docId w15:val="{9645014A-B76C-4783-9D5E-5AB75B45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uiPriority w:val="99"/>
    <w:unhideWhenUsed/>
    <w:rsid w:val="009B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uiPriority w:val="34"/>
    <w:qFormat/>
    <w:rsid w:val="009B0962"/>
    <w:pPr>
      <w:ind w:left="720"/>
      <w:contextualSpacing/>
    </w:pPr>
  </w:style>
  <w:style w:type="table" w:styleId="a6">
    <w:name w:val="Table Grid"/>
    <w:basedOn w:val="a1"/>
    <w:uiPriority w:val="39"/>
    <w:rsid w:val="0061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2C213D"/>
    <w:rPr>
      <w:i/>
      <w:iCs/>
    </w:rPr>
  </w:style>
  <w:style w:type="table" w:customStyle="1" w:styleId="10">
    <w:name w:val="Сетка таблицы1"/>
    <w:basedOn w:val="a1"/>
    <w:next w:val="a6"/>
    <w:uiPriority w:val="39"/>
    <w:rsid w:val="00FB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7210F"/>
  </w:style>
  <w:style w:type="paragraph" w:styleId="a8">
    <w:name w:val="header"/>
    <w:link w:val="a9"/>
    <w:uiPriority w:val="99"/>
    <w:unhideWhenUsed/>
    <w:rsid w:val="004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6E65"/>
  </w:style>
  <w:style w:type="paragraph" w:styleId="aa">
    <w:name w:val="footer"/>
    <w:link w:val="ab"/>
    <w:uiPriority w:val="99"/>
    <w:unhideWhenUsed/>
    <w:rsid w:val="004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6E65"/>
  </w:style>
  <w:style w:type="table" w:customStyle="1" w:styleId="1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1358AD"/>
    <w:rPr>
      <w:b/>
      <w:bCs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WiMIzFPTYP1Y/yVttXuvz/hgw==">CgMxLjAaJQoBMBIgCh4IB0IaCg9UaW1lcyBOZXcgUm9tYW4SB0d1bmdzdWgaJQoBMRIgCh4IB0IaCg9UaW1lcyBOZXcgUm9tYW4SB0d1bmdzdWgaJQoBMhIgCh4IB0IaCg9UaW1lcyBOZXcgUm9tYW4SB0d1bmdzdWgaJQoBMxIgCh4IB0IaCg9UaW1lcyBOZXcgUm9tYW4SB0d1bmdzdWgyDmgueTFqYjhtM3Bjd3B6Mg5oLndyZm9wdzQ1ZzF4cTgAciExMzRGeENJV1NZM3dHNlFZY0JabkZmaGt4S0NaQUo2O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5604</Words>
  <Characters>31948</Characters>
  <Application>Microsoft Office Word</Application>
  <DocSecurity>0</DocSecurity>
  <Lines>266</Lines>
  <Paragraphs>74</Paragraphs>
  <ScaleCrop>false</ScaleCrop>
  <Company>SPecialiST RePack</Company>
  <LinksUpToDate>false</LinksUpToDate>
  <CharactersWithSpaces>37478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2025-06-07T21:41:00Z</dcterms:created>
  <dcterms:modified xsi:type="dcterms:W3CDTF">2025-10-07T15:09:00Z</dcterms:modified>
</cp:coreProperties>
</file>